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200" w:type="dxa"/>
        <w:jc w:val="center"/>
        <w:tblCellSpacing w:w="0" w:type="dxa"/>
        <w:tblLayout w:type="fixed"/>
        <w:tblCellMar>
          <w:top w:w="0" w:type="dxa"/>
          <w:left w:w="0" w:type="dxa"/>
          <w:bottom w:w="0" w:type="dxa"/>
          <w:right w:w="0" w:type="dxa"/>
        </w:tblCellMar>
      </w:tblPr>
      <w:tblGrid>
        <w:gridCol w:w="13200"/>
      </w:tblGrid>
      <w:tr>
        <w:tblPrEx>
          <w:tblCellMar>
            <w:top w:w="0" w:type="dxa"/>
            <w:left w:w="0" w:type="dxa"/>
            <w:bottom w:w="0" w:type="dxa"/>
            <w:right w:w="0" w:type="dxa"/>
          </w:tblCellMar>
        </w:tblPrEx>
        <w:trPr>
          <w:tblCellSpacing w:w="0" w:type="dxa"/>
          <w:jc w:val="center"/>
        </w:trPr>
        <w:tc>
          <w:tcPr>
            <w:tcW w:w="13200" w:type="dxa"/>
            <w:vAlign w:val="center"/>
          </w:tcPr>
          <w:p>
            <w:pPr>
              <w:widowControl/>
              <w:jc w:val="left"/>
              <w:rPr>
                <w:rFonts w:ascii="宋体" w:hAnsi="宋体" w:eastAsia="宋体" w:cs="宋体"/>
                <w:color w:val="000000"/>
                <w:kern w:val="0"/>
                <w:szCs w:val="21"/>
              </w:rPr>
            </w:pPr>
          </w:p>
        </w:tc>
      </w:tr>
    </w:tbl>
    <w:p>
      <w:pPr>
        <w:widowControl/>
        <w:spacing w:before="100" w:beforeAutospacing="1" w:after="100" w:afterAutospacing="1"/>
        <w:jc w:val="center"/>
        <w:rPr>
          <w:rFonts w:ascii="宋体" w:hAnsi="宋体" w:eastAsia="宋体" w:cs="宋体"/>
          <w:b/>
          <w:bCs/>
          <w:color w:val="333333"/>
          <w:kern w:val="0"/>
          <w:sz w:val="28"/>
          <w:szCs w:val="28"/>
        </w:rPr>
      </w:pPr>
      <w:r>
        <w:rPr>
          <w:rFonts w:ascii="宋体" w:hAnsi="宋体" w:eastAsia="宋体" w:cs="宋体"/>
          <w:b/>
          <w:bCs/>
          <w:color w:val="333333"/>
          <w:kern w:val="0"/>
          <w:sz w:val="28"/>
          <w:szCs w:val="28"/>
        </w:rPr>
        <w:t>2</w:t>
      </w:r>
      <w:r>
        <w:rPr>
          <w:rFonts w:hint="eastAsia" w:ascii="宋体" w:hAnsi="宋体" w:eastAsia="宋体" w:cs="宋体"/>
          <w:b/>
          <w:bCs/>
          <w:color w:val="333333"/>
          <w:kern w:val="0"/>
          <w:sz w:val="28"/>
          <w:szCs w:val="28"/>
        </w:rPr>
        <w:t>015</w:t>
      </w:r>
      <w:r>
        <w:rPr>
          <w:rFonts w:ascii="宋体" w:hAnsi="宋体" w:eastAsia="宋体" w:cs="宋体"/>
          <w:b/>
          <w:bCs/>
          <w:color w:val="333333"/>
          <w:kern w:val="0"/>
          <w:sz w:val="28"/>
          <w:szCs w:val="28"/>
        </w:rPr>
        <w:t>届在职</w:t>
      </w:r>
      <w:r>
        <w:rPr>
          <w:rFonts w:hint="eastAsia" w:ascii="宋体" w:hAnsi="宋体" w:eastAsia="宋体" w:cs="宋体"/>
          <w:b/>
          <w:bCs/>
          <w:color w:val="333333"/>
          <w:kern w:val="0"/>
          <w:sz w:val="28"/>
          <w:szCs w:val="28"/>
        </w:rPr>
        <w:t>法律硕士</w:t>
      </w:r>
      <w:r>
        <w:rPr>
          <w:rFonts w:ascii="宋体" w:hAnsi="宋体" w:eastAsia="宋体" w:cs="宋体"/>
          <w:b/>
          <w:bCs/>
          <w:color w:val="333333"/>
          <w:kern w:val="0"/>
          <w:sz w:val="28"/>
          <w:szCs w:val="28"/>
        </w:rPr>
        <w:t>学位论文答辩工作顺利完成</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2015年11月21日，海南大学法律硕士教育中心在社科楼举行了2013级在职法律硕士学位论文答辩会，本次答辩共52名同学申请参加，分4组进行。特邀请了华中师范大学廖美珍教授、海南省高级人民法院曾繁深法官、海南政法职业学院童光政教授、海南省高级人民法院赵立法官出席并担任答辩委员会主席。</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法学院</w:t>
      </w:r>
      <w:r>
        <w:rPr>
          <w:rFonts w:ascii="宋体" w:hAnsi="宋体" w:eastAsia="宋体" w:cs="宋体"/>
          <w:color w:val="000000"/>
          <w:kern w:val="0"/>
          <w:sz w:val="24"/>
          <w:szCs w:val="24"/>
        </w:rPr>
        <w:t>高度重视在职</w:t>
      </w:r>
      <w:r>
        <w:rPr>
          <w:rFonts w:hint="eastAsia" w:ascii="宋体" w:hAnsi="宋体" w:eastAsia="宋体" w:cs="宋体"/>
          <w:color w:val="000000"/>
          <w:kern w:val="0"/>
          <w:sz w:val="24"/>
          <w:szCs w:val="24"/>
        </w:rPr>
        <w:t>法律硕士</w:t>
      </w:r>
      <w:r>
        <w:rPr>
          <w:rFonts w:ascii="宋体" w:hAnsi="宋体" w:eastAsia="宋体" w:cs="宋体"/>
          <w:color w:val="000000"/>
          <w:kern w:val="0"/>
          <w:sz w:val="24"/>
          <w:szCs w:val="24"/>
        </w:rPr>
        <w:t>学位论文答辩工作，</w:t>
      </w:r>
      <w:r>
        <w:rPr>
          <w:rFonts w:hint="eastAsia" w:ascii="宋体" w:hAnsi="宋体" w:eastAsia="宋体" w:cs="宋体"/>
          <w:color w:val="000000"/>
          <w:kern w:val="0"/>
          <w:sz w:val="24"/>
          <w:szCs w:val="24"/>
        </w:rPr>
        <w:t>并成立了答辩委员会工作小组</w:t>
      </w:r>
      <w:r>
        <w:rPr>
          <w:rFonts w:ascii="宋体" w:hAnsi="宋体" w:eastAsia="宋体" w:cs="宋体"/>
          <w:color w:val="000000"/>
          <w:kern w:val="0"/>
          <w:sz w:val="24"/>
          <w:szCs w:val="24"/>
        </w:rPr>
        <w:t>对答辩流程、操作规范等进行了详细规划和细致部署，</w:t>
      </w:r>
      <w:r>
        <w:rPr>
          <w:rFonts w:hint="eastAsia" w:ascii="宋体" w:hAnsi="宋体" w:eastAsia="宋体" w:cs="宋体"/>
          <w:color w:val="000000"/>
          <w:kern w:val="0"/>
          <w:sz w:val="24"/>
          <w:szCs w:val="24"/>
        </w:rPr>
        <w:t>参加</w:t>
      </w:r>
      <w:r>
        <w:rPr>
          <w:rFonts w:ascii="宋体" w:hAnsi="宋体" w:eastAsia="宋体" w:cs="宋体"/>
          <w:color w:val="000000"/>
          <w:kern w:val="0"/>
          <w:sz w:val="24"/>
          <w:szCs w:val="24"/>
        </w:rPr>
        <w:t>此次答辩</w:t>
      </w:r>
      <w:r>
        <w:rPr>
          <w:rFonts w:hint="eastAsia" w:ascii="宋体" w:hAnsi="宋体" w:eastAsia="宋体" w:cs="宋体"/>
          <w:color w:val="000000"/>
          <w:kern w:val="0"/>
          <w:sz w:val="24"/>
          <w:szCs w:val="24"/>
        </w:rPr>
        <w:t>的学位论文全部通过海南大学</w:t>
      </w:r>
      <w:r>
        <w:rPr>
          <w:rFonts w:ascii="宋体" w:hAnsi="宋体" w:eastAsia="宋体" w:cs="宋体"/>
          <w:color w:val="000000"/>
          <w:kern w:val="0"/>
          <w:sz w:val="24"/>
          <w:szCs w:val="24"/>
        </w:rPr>
        <w:t>学术不端检测</w:t>
      </w:r>
      <w:r>
        <w:rPr>
          <w:rFonts w:hint="eastAsia" w:ascii="宋体" w:hAnsi="宋体" w:eastAsia="宋体" w:cs="宋体"/>
          <w:color w:val="000000"/>
          <w:kern w:val="0"/>
          <w:sz w:val="24"/>
          <w:szCs w:val="24"/>
        </w:rPr>
        <w:t>系统</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且通过</w:t>
      </w:r>
      <w:r>
        <w:rPr>
          <w:rFonts w:ascii="宋体" w:hAnsi="宋体" w:eastAsia="宋体" w:cs="宋体"/>
          <w:color w:val="000000"/>
          <w:kern w:val="0"/>
          <w:sz w:val="24"/>
          <w:szCs w:val="24"/>
        </w:rPr>
        <w:t>校外匿名评审。</w:t>
      </w:r>
      <w:r>
        <w:rPr>
          <w:rFonts w:hint="eastAsia" w:ascii="宋体" w:hAnsi="宋体" w:eastAsia="宋体" w:cs="宋体"/>
          <w:color w:val="000000"/>
          <w:kern w:val="0"/>
          <w:sz w:val="24"/>
          <w:szCs w:val="24"/>
        </w:rPr>
        <w:t>参加本次答辩的论文所取角度新颖，紧贴本职工作和社会现实问题，分析透</w:t>
      </w:r>
      <w:r>
        <w:rPr>
          <w:rFonts w:hint="eastAsia" w:ascii="宋体" w:hAnsi="宋体" w:eastAsia="宋体" w:cs="宋体"/>
          <w:color w:val="000000"/>
          <w:kern w:val="0"/>
          <w:sz w:val="24"/>
          <w:szCs w:val="24"/>
          <w:lang w:val="en-US" w:eastAsia="zh-CN"/>
        </w:rPr>
        <w:t>彻</w:t>
      </w:r>
      <w:bookmarkStart w:id="0" w:name="_GoBack"/>
      <w:bookmarkEnd w:id="0"/>
      <w:r>
        <w:rPr>
          <w:rFonts w:hint="eastAsia" w:ascii="宋体" w:hAnsi="宋体" w:eastAsia="宋体" w:cs="宋体"/>
          <w:color w:val="000000"/>
          <w:kern w:val="0"/>
          <w:sz w:val="24"/>
          <w:szCs w:val="24"/>
        </w:rPr>
        <w:t>，收集资料比较翔实，答辩学生能从本职工作或正在办理的案件出发，结合实际进行理论分析研究。答辩过程中，同学们思路清晰，表达流畅，论点鲜明，观点正确，显示了较强的理论功底和实务工作中的应变能力。答辩委员会认真履行职责，从论文选题、科研能力、写作水平，等方面对每一篇学位论文进行严格审核，既肯定成绩也提出了一些富有针对性的意见。</w:t>
      </w:r>
    </w:p>
    <w:p>
      <w:pPr>
        <w:widowControl/>
        <w:spacing w:line="360" w:lineRule="auto"/>
        <w:ind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次论文答辩会凝聚了法硕中心全体师生的心血，是海南大学法律硕士专业学位硕士培养成果的一次重要展示。受邀参加答辩的专家充分肯定了法硕中心在研究生培养工作中所取得的成绩，对在职法律硕士研究生学位论文的质量，特别是调研报告的质量给予了较高的评价和肯定。</w:t>
      </w:r>
      <w:r>
        <w:rPr>
          <w:rFonts w:hint="eastAsia" w:ascii="宋体" w:hAnsi="宋体" w:eastAsia="宋体" w:cs="宋体"/>
          <w:color w:val="000000"/>
          <w:kern w:val="0"/>
          <w:sz w:val="24"/>
          <w:szCs w:val="24"/>
        </w:rPr>
        <w:drawing>
          <wp:inline distT="0" distB="0" distL="114300" distR="114300">
            <wp:extent cx="5266055" cy="3510915"/>
            <wp:effectExtent l="0" t="0" r="10795" b="13335"/>
            <wp:docPr id="1" name="图片 1" descr="IMG_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177"/>
                    <pic:cNvPicPr>
                      <a:picLocks noChangeAspect="1"/>
                    </pic:cNvPicPr>
                  </pic:nvPicPr>
                  <pic:blipFill>
                    <a:blip r:embed="rId4"/>
                    <a:srcRect/>
                    <a:stretch>
                      <a:fillRect/>
                    </a:stretch>
                  </pic:blipFill>
                  <pic:spPr>
                    <a:xfrm>
                      <a:off x="0" y="0"/>
                      <a:ext cx="5266055" cy="3510915"/>
                    </a:xfrm>
                    <a:prstGeom prst="rect">
                      <a:avLst/>
                    </a:prstGeom>
                  </pic:spPr>
                </pic:pic>
              </a:graphicData>
            </a:graphic>
          </wp:inline>
        </w:drawing>
      </w:r>
      <w:r>
        <w:rPr>
          <w:rFonts w:hint="eastAsia" w:ascii="宋体" w:hAnsi="宋体" w:eastAsia="宋体" w:cs="宋体"/>
          <w:color w:val="000000"/>
          <w:kern w:val="0"/>
          <w:sz w:val="24"/>
          <w:szCs w:val="24"/>
        </w:rPr>
        <w:t xml:space="preserve">  </w:t>
      </w:r>
    </w:p>
    <w:p>
      <w:pPr>
        <w:widowControl/>
        <w:spacing w:line="360" w:lineRule="auto"/>
        <w:ind w:firstLine="420"/>
        <w:jc w:val="left"/>
        <w:rPr>
          <w:rFonts w:ascii="宋体" w:hAnsi="宋体" w:eastAsia="宋体" w:cs="宋体"/>
          <w:color w:val="000000"/>
          <w:kern w:val="0"/>
          <w:szCs w:val="21"/>
        </w:rPr>
      </w:pPr>
    </w:p>
    <w:p>
      <w:pPr>
        <w:widowControl/>
        <w:spacing w:line="360" w:lineRule="auto"/>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drawing>
          <wp:inline distT="0" distB="0" distL="114300" distR="114300">
            <wp:extent cx="5266055" cy="3510915"/>
            <wp:effectExtent l="0" t="0" r="10795" b="13335"/>
            <wp:docPr id="2" name="图片 2" descr="IMG_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192"/>
                    <pic:cNvPicPr>
                      <a:picLocks noChangeAspect="1"/>
                    </pic:cNvPicPr>
                  </pic:nvPicPr>
                  <pic:blipFill>
                    <a:blip r:embed="rId5"/>
                    <a:srcRect/>
                    <a:stretch>
                      <a:fillRect/>
                    </a:stretch>
                  </pic:blipFill>
                  <pic:spPr>
                    <a:xfrm>
                      <a:off x="0" y="0"/>
                      <a:ext cx="5266055" cy="3510915"/>
                    </a:xfrm>
                    <a:prstGeom prst="rect">
                      <a:avLst/>
                    </a:prstGeom>
                  </pic:spPr>
                </pic:pic>
              </a:graphicData>
            </a:graphic>
          </wp:inline>
        </w:drawing>
      </w:r>
    </w:p>
    <w:p>
      <w:pPr>
        <w:widowControl/>
        <w:spacing w:line="360" w:lineRule="auto"/>
        <w:ind w:firstLine="420"/>
        <w:jc w:val="left"/>
        <w:rPr>
          <w:rFonts w:ascii="宋体" w:hAnsi="宋体" w:eastAsia="宋体" w:cs="宋体"/>
          <w:color w:val="000000"/>
          <w:kern w:val="0"/>
          <w:szCs w:val="21"/>
        </w:rPr>
      </w:pPr>
    </w:p>
    <w:p>
      <w:pPr>
        <w:widowControl/>
        <w:spacing w:line="360" w:lineRule="auto"/>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drawing>
          <wp:inline distT="0" distB="0" distL="114300" distR="114300">
            <wp:extent cx="5266055" cy="3510915"/>
            <wp:effectExtent l="0" t="0" r="10795" b="13335"/>
            <wp:docPr id="3" name="图片 3" descr="IMG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1200"/>
                    <pic:cNvPicPr>
                      <a:picLocks noChangeAspect="1"/>
                    </pic:cNvPicPr>
                  </pic:nvPicPr>
                  <pic:blipFill>
                    <a:blip r:embed="rId6"/>
                    <a:srcRect/>
                    <a:stretch>
                      <a:fillRect/>
                    </a:stretch>
                  </pic:blipFill>
                  <pic:spPr>
                    <a:xfrm>
                      <a:off x="0" y="0"/>
                      <a:ext cx="5266055" cy="3510915"/>
                    </a:xfrm>
                    <a:prstGeom prst="rect">
                      <a:avLst/>
                    </a:prstGeom>
                  </pic:spPr>
                </pic:pic>
              </a:graphicData>
            </a:graphic>
          </wp:inline>
        </w:drawing>
      </w:r>
    </w:p>
    <w:p>
      <w:pPr>
        <w:widowControl/>
        <w:spacing w:line="360" w:lineRule="auto"/>
        <w:ind w:firstLine="420"/>
        <w:jc w:val="left"/>
        <w:rPr>
          <w:rFonts w:ascii="宋体" w:hAnsi="宋体" w:eastAsia="宋体" w:cs="宋体"/>
          <w:color w:val="000000"/>
          <w:kern w:val="0"/>
          <w:szCs w:val="21"/>
        </w:rPr>
      </w:pPr>
    </w:p>
    <w:p>
      <w:pPr>
        <w:widowControl/>
        <w:spacing w:line="360" w:lineRule="auto"/>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drawing>
          <wp:inline distT="0" distB="0" distL="114300" distR="114300">
            <wp:extent cx="5266055" cy="3510915"/>
            <wp:effectExtent l="0" t="0" r="10795" b="13335"/>
            <wp:docPr id="4" name="图片 4" descr="IMG_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209"/>
                    <pic:cNvPicPr>
                      <a:picLocks noChangeAspect="1"/>
                    </pic:cNvPicPr>
                  </pic:nvPicPr>
                  <pic:blipFill>
                    <a:blip r:embed="rId7"/>
                    <a:srcRect/>
                    <a:stretch>
                      <a:fillRect/>
                    </a:stretch>
                  </pic:blipFill>
                  <pic:spPr>
                    <a:xfrm>
                      <a:off x="0" y="0"/>
                      <a:ext cx="5266055" cy="35109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37"/>
    <w:rsid w:val="002A3FBD"/>
    <w:rsid w:val="00323E9F"/>
    <w:rsid w:val="004B53CB"/>
    <w:rsid w:val="00607E21"/>
    <w:rsid w:val="00626737"/>
    <w:rsid w:val="008300C8"/>
    <w:rsid w:val="00937E65"/>
    <w:rsid w:val="00AE6431"/>
    <w:rsid w:val="00C1542C"/>
    <w:rsid w:val="00CA397C"/>
    <w:rsid w:val="00CA7737"/>
    <w:rsid w:val="00E346CC"/>
    <w:rsid w:val="2E0D15C0"/>
    <w:rsid w:val="50DB40B6"/>
    <w:rsid w:val="6D41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customStyle="1" w:styleId="5">
    <w:name w:val="apple-converted-space"/>
    <w:basedOn w:val="4"/>
    <w:uiPriority w:val="0"/>
  </w:style>
  <w:style w:type="character" w:customStyle="1" w:styleId="6">
    <w:name w:val="批注框文本 字符"/>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568</Words>
  <Characters>580</Characters>
  <Lines>4</Lines>
  <Paragraphs>1</Paragraphs>
  <TotalTime>2</TotalTime>
  <ScaleCrop>false</ScaleCrop>
  <LinksUpToDate>false</LinksUpToDate>
  <CharactersWithSpaces>582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2015-12-07T02:55:00Z</dcterms:created>
  <dc:creator>hp</dc:creator>
  <cp:lastModifiedBy>Administrator</cp:lastModifiedBy>
  <dcterms:modified xsi:type="dcterms:W3CDTF">2022-03-25T01:22:11Z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9007B177A2AF441EB8FF40751BE639AC</vt:lpwstr>
  </property>
</Properties>
</file>