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884E" w14:textId="77777777" w:rsidR="00FA396A" w:rsidRDefault="007E7FB0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4C2D107" wp14:editId="70D9FBD7">
                <wp:simplePos x="0" y="0"/>
                <wp:positionH relativeFrom="column">
                  <wp:posOffset>-1828800</wp:posOffset>
                </wp:positionH>
                <wp:positionV relativeFrom="paragraph">
                  <wp:posOffset>-1188720</wp:posOffset>
                </wp:positionV>
                <wp:extent cx="685800" cy="792480"/>
                <wp:effectExtent l="3810" t="3175" r="11430" b="12065"/>
                <wp:wrapNone/>
                <wp:docPr id="10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95353" id="Line 2" o:spid="_x0000_s1026" style="position:absolute;left:0;text-align:left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in,-93.6pt" to="-90pt,-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">
                <o:lock v:ext="edit" shapetype="f"/>
              </v:line>
            </w:pict>
          </mc:Fallback>
        </mc:AlternateContent>
      </w:r>
      <w:r>
        <w:rPr>
          <w:rFonts w:ascii="黑体" w:eastAsia="黑体" w:hint="eastAsia"/>
          <w:b/>
          <w:sz w:val="28"/>
          <w:szCs w:val="28"/>
        </w:rPr>
        <w:t>海南大学法学院《诊所法律教育课程》课堂教学计划</w:t>
      </w:r>
    </w:p>
    <w:p w14:paraId="29B6CF56" w14:textId="77777777" w:rsidR="00FA396A" w:rsidRDefault="007E7FB0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28"/>
          <w:szCs w:val="28"/>
        </w:rPr>
        <w:t>（第</w:t>
      </w:r>
      <w:r>
        <w:rPr>
          <w:rFonts w:ascii="黑体" w:eastAsia="黑体" w:hint="eastAsia"/>
          <w:b/>
          <w:sz w:val="28"/>
          <w:szCs w:val="28"/>
        </w:rPr>
        <w:t>三十</w:t>
      </w:r>
      <w:r>
        <w:rPr>
          <w:rFonts w:ascii="黑体" w:eastAsia="黑体" w:hint="eastAsia"/>
          <w:b/>
          <w:sz w:val="28"/>
          <w:szCs w:val="28"/>
        </w:rPr>
        <w:t>二</w:t>
      </w:r>
      <w:r>
        <w:rPr>
          <w:rFonts w:ascii="黑体" w:eastAsia="黑体" w:hint="eastAsia"/>
          <w:b/>
          <w:sz w:val="28"/>
          <w:szCs w:val="28"/>
        </w:rPr>
        <w:t>期</w:t>
      </w:r>
      <w:r>
        <w:rPr>
          <w:rFonts w:ascii="黑体" w:eastAsia="黑体" w:hint="eastAsia"/>
          <w:b/>
          <w:sz w:val="28"/>
          <w:szCs w:val="28"/>
        </w:rPr>
        <w:t>1</w:t>
      </w:r>
      <w:r>
        <w:rPr>
          <w:rFonts w:ascii="黑体" w:eastAsia="黑体" w:hint="eastAsia"/>
          <w:b/>
          <w:sz w:val="28"/>
          <w:szCs w:val="28"/>
        </w:rPr>
        <w:t>班</w:t>
      </w:r>
      <w:r>
        <w:rPr>
          <w:rFonts w:ascii="黑体" w:eastAsia="黑体" w:hint="eastAsia"/>
          <w:b/>
          <w:sz w:val="28"/>
          <w:szCs w:val="28"/>
        </w:rPr>
        <w:t>）</w:t>
      </w:r>
    </w:p>
    <w:p w14:paraId="653CED28" w14:textId="77777777" w:rsidR="00FA396A" w:rsidRDefault="007E7FB0">
      <w:pPr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(20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-20</w:t>
      </w:r>
      <w:r>
        <w:rPr>
          <w:rFonts w:ascii="宋体" w:hAnsi="宋体" w:hint="eastAsia"/>
          <w:b/>
          <w:sz w:val="24"/>
        </w:rPr>
        <w:t>21</w:t>
      </w:r>
      <w:r>
        <w:rPr>
          <w:rFonts w:ascii="宋体" w:hAnsi="宋体" w:hint="eastAsia"/>
          <w:b/>
          <w:sz w:val="24"/>
        </w:rPr>
        <w:t>学年第</w:t>
      </w: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学期</w:t>
      </w:r>
      <w:r>
        <w:rPr>
          <w:rFonts w:ascii="宋体" w:hAnsi="宋体" w:hint="eastAsia"/>
          <w:b/>
          <w:sz w:val="24"/>
        </w:rPr>
        <w:t>)</w:t>
      </w:r>
    </w:p>
    <w:p w14:paraId="6D630C58" w14:textId="77777777" w:rsidR="00FA396A" w:rsidRDefault="00FA396A">
      <w:pPr>
        <w:rPr>
          <w:sz w:val="28"/>
          <w:szCs w:val="28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658"/>
        <w:gridCol w:w="79"/>
        <w:gridCol w:w="738"/>
        <w:gridCol w:w="1229"/>
        <w:gridCol w:w="2669"/>
        <w:gridCol w:w="3324"/>
      </w:tblGrid>
      <w:tr w:rsidR="00FA396A" w14:paraId="58C060D9" w14:textId="77777777">
        <w:trPr>
          <w:trHeight w:val="909"/>
          <w:jc w:val="center"/>
        </w:trPr>
        <w:tc>
          <w:tcPr>
            <w:tcW w:w="1239" w:type="dxa"/>
            <w:vAlign w:val="center"/>
          </w:tcPr>
          <w:p w14:paraId="0BDD6CA1" w14:textId="77777777" w:rsidR="00FA396A" w:rsidRDefault="007E7FB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周次</w:t>
            </w:r>
          </w:p>
          <w:p w14:paraId="489D1C41" w14:textId="77777777" w:rsidR="00FA396A" w:rsidRDefault="007E7FB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75" w:type="dxa"/>
            <w:gridSpan w:val="3"/>
            <w:vAlign w:val="center"/>
          </w:tcPr>
          <w:p w14:paraId="4E51B331" w14:textId="77777777" w:rsidR="00FA396A" w:rsidRDefault="007E7F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题</w:t>
            </w:r>
          </w:p>
        </w:tc>
        <w:tc>
          <w:tcPr>
            <w:tcW w:w="1229" w:type="dxa"/>
            <w:vAlign w:val="center"/>
          </w:tcPr>
          <w:p w14:paraId="2F5446E1" w14:textId="77777777" w:rsidR="00FA396A" w:rsidRDefault="007E7FB0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讲</w:t>
            </w:r>
          </w:p>
          <w:p w14:paraId="4F2FE4AD" w14:textId="77777777" w:rsidR="00FA396A" w:rsidRDefault="007E7FB0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师</w:t>
            </w:r>
          </w:p>
        </w:tc>
        <w:tc>
          <w:tcPr>
            <w:tcW w:w="2669" w:type="dxa"/>
            <w:vAlign w:val="center"/>
          </w:tcPr>
          <w:p w14:paraId="7B64B0DD" w14:textId="77777777" w:rsidR="00FA396A" w:rsidRDefault="007E7F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教学主要内容</w:t>
            </w:r>
          </w:p>
        </w:tc>
        <w:tc>
          <w:tcPr>
            <w:tcW w:w="3324" w:type="dxa"/>
            <w:vAlign w:val="center"/>
          </w:tcPr>
          <w:p w14:paraId="60E1FD54" w14:textId="77777777" w:rsidR="00FA396A" w:rsidRDefault="007E7F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教学目的</w:t>
            </w:r>
          </w:p>
        </w:tc>
      </w:tr>
      <w:tr w:rsidR="00FA396A" w14:paraId="144FADBA" w14:textId="77777777">
        <w:trPr>
          <w:trHeight w:val="1718"/>
          <w:jc w:val="center"/>
        </w:trPr>
        <w:tc>
          <w:tcPr>
            <w:tcW w:w="1239" w:type="dxa"/>
            <w:vMerge w:val="restart"/>
            <w:vAlign w:val="center"/>
          </w:tcPr>
          <w:p w14:paraId="67503CCC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0C394165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658" w:type="dxa"/>
            <w:vMerge w:val="restart"/>
            <w:vAlign w:val="center"/>
          </w:tcPr>
          <w:p w14:paraId="0B8E66A8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走进诊所</w:t>
            </w:r>
          </w:p>
          <w:p w14:paraId="7104FFE3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67D9A4E5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相互认识</w:t>
            </w:r>
          </w:p>
        </w:tc>
        <w:tc>
          <w:tcPr>
            <w:tcW w:w="1229" w:type="dxa"/>
            <w:vMerge w:val="restart"/>
            <w:vAlign w:val="center"/>
          </w:tcPr>
          <w:p w14:paraId="2397C1BB" w14:textId="77777777" w:rsidR="00FA396A" w:rsidRDefault="00FA396A">
            <w:pPr>
              <w:jc w:val="center"/>
              <w:rPr>
                <w:sz w:val="24"/>
              </w:rPr>
            </w:pPr>
          </w:p>
          <w:p w14:paraId="0FEFE2ED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14:paraId="00E15639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14:paraId="5FB57E0E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14:paraId="50B1C583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14:paraId="4EF32382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14:paraId="60A601CC" w14:textId="77777777" w:rsidR="00FA396A" w:rsidRDefault="00FA396A">
            <w:pPr>
              <w:rPr>
                <w:sz w:val="24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5B9FEB90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．自我介绍，相互认识</w:t>
            </w:r>
          </w:p>
          <w:p w14:paraId="211CE834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．诊所法律教育概述及海南大学法律诊所课程介绍</w:t>
            </w:r>
          </w:p>
          <w:p w14:paraId="6D04D427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．介绍法律诊所日常上班，案件指导与办理的规则制度</w:t>
            </w:r>
          </w:p>
          <w:p w14:paraId="6D4BBE06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师生经验分享</w:t>
            </w:r>
          </w:p>
          <w:p w14:paraId="0DC5CEB7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  <w:p w14:paraId="7897F08F" w14:textId="77777777" w:rsidR="00FA396A" w:rsidRDefault="00FA396A">
            <w:pPr>
              <w:rPr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14:paraId="77F492FC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．认识学生与教师在诊所中的身份、地位和作用</w:t>
            </w:r>
          </w:p>
          <w:p w14:paraId="7CB7C341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．掌握诊所法律教育课程设置的目的，诊所教学与中国传统法律教学的联系与区别</w:t>
            </w:r>
          </w:p>
          <w:p w14:paraId="30CAA29B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．了解诊所教学方法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学习方法、成绩评定</w:t>
            </w:r>
            <w:r>
              <w:rPr>
                <w:rFonts w:hint="eastAsia"/>
                <w:sz w:val="24"/>
              </w:rPr>
              <w:t>办法</w:t>
            </w:r>
          </w:p>
          <w:p w14:paraId="68CCCFE0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树立</w:t>
            </w:r>
            <w:r>
              <w:rPr>
                <w:rFonts w:hint="eastAsia"/>
                <w:sz w:val="24"/>
              </w:rPr>
              <w:t>诚实守信</w:t>
            </w:r>
            <w:r>
              <w:rPr>
                <w:rFonts w:hint="eastAsia"/>
                <w:sz w:val="24"/>
              </w:rPr>
              <w:t>、坚持原则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尽职尽责维护委托人合法利益</w:t>
            </w:r>
            <w:r>
              <w:rPr>
                <w:rFonts w:hint="eastAsia"/>
                <w:sz w:val="24"/>
              </w:rPr>
              <w:t>的职业道德观念</w:t>
            </w:r>
          </w:p>
        </w:tc>
      </w:tr>
      <w:tr w:rsidR="00FA396A" w14:paraId="3277F400" w14:textId="77777777">
        <w:trPr>
          <w:trHeight w:val="1548"/>
          <w:jc w:val="center"/>
        </w:trPr>
        <w:tc>
          <w:tcPr>
            <w:tcW w:w="1239" w:type="dxa"/>
            <w:vMerge/>
            <w:vAlign w:val="center"/>
          </w:tcPr>
          <w:p w14:paraId="4FC87AE2" w14:textId="77777777" w:rsidR="00FA396A" w:rsidRDefault="00FA396A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14:paraId="591F006C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156024A6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感受诊所</w:t>
            </w:r>
          </w:p>
        </w:tc>
        <w:tc>
          <w:tcPr>
            <w:tcW w:w="1229" w:type="dxa"/>
            <w:vMerge/>
            <w:vAlign w:val="center"/>
          </w:tcPr>
          <w:p w14:paraId="246ABFFC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Merge/>
            <w:vAlign w:val="center"/>
          </w:tcPr>
          <w:p w14:paraId="2E53EB8F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64808B96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</w:tc>
      </w:tr>
      <w:tr w:rsidR="00FA396A" w14:paraId="162E40DB" w14:textId="77777777">
        <w:trPr>
          <w:trHeight w:val="1418"/>
          <w:jc w:val="center"/>
        </w:trPr>
        <w:tc>
          <w:tcPr>
            <w:tcW w:w="1239" w:type="dxa"/>
            <w:vMerge/>
            <w:vAlign w:val="center"/>
          </w:tcPr>
          <w:p w14:paraId="3ED87D2A" w14:textId="77777777" w:rsidR="00FA396A" w:rsidRDefault="00FA396A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658" w:type="dxa"/>
            <w:vAlign w:val="center"/>
          </w:tcPr>
          <w:p w14:paraId="124693F2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了解诊所</w:t>
            </w:r>
          </w:p>
        </w:tc>
        <w:tc>
          <w:tcPr>
            <w:tcW w:w="817" w:type="dxa"/>
            <w:gridSpan w:val="2"/>
            <w:vAlign w:val="center"/>
          </w:tcPr>
          <w:p w14:paraId="38A65CAB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了解诊所</w:t>
            </w:r>
          </w:p>
        </w:tc>
        <w:tc>
          <w:tcPr>
            <w:tcW w:w="1229" w:type="dxa"/>
            <w:vMerge/>
            <w:vAlign w:val="center"/>
          </w:tcPr>
          <w:p w14:paraId="613DD6F9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Merge/>
            <w:vAlign w:val="center"/>
          </w:tcPr>
          <w:p w14:paraId="1C6CF9E8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1BBBFEE4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</w:tc>
      </w:tr>
      <w:tr w:rsidR="00FA396A" w14:paraId="2C52A85F" w14:textId="77777777">
        <w:trPr>
          <w:trHeight w:val="2172"/>
          <w:jc w:val="center"/>
        </w:trPr>
        <w:tc>
          <w:tcPr>
            <w:tcW w:w="1239" w:type="dxa"/>
            <w:vAlign w:val="center"/>
          </w:tcPr>
          <w:p w14:paraId="077AC4BD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2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0BDA3C76" w14:textId="77777777" w:rsidR="00FA396A" w:rsidRDefault="007E7FB0">
            <w:pPr>
              <w:ind w:firstLineChars="50" w:firstLine="112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16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4E4E3E61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合同的审查</w:t>
            </w:r>
          </w:p>
          <w:p w14:paraId="2ABBDBF7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3F26C93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王龙奎律师主讲</w:t>
            </w:r>
          </w:p>
          <w:p w14:paraId="063BEEB7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Align w:val="center"/>
          </w:tcPr>
          <w:p w14:paraId="44419582" w14:textId="77777777" w:rsidR="00FA396A" w:rsidRDefault="007E7FB0">
            <w:pPr>
              <w:numPr>
                <w:ilvl w:val="0"/>
                <w:numId w:val="1"/>
              </w:num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律师非诉业务介绍</w:t>
            </w:r>
          </w:p>
          <w:p w14:paraId="23116A74" w14:textId="77777777" w:rsidR="00FA396A" w:rsidRDefault="007E7FB0">
            <w:pPr>
              <w:numPr>
                <w:ilvl w:val="0"/>
                <w:numId w:val="1"/>
              </w:num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合同审查的方法和技巧</w:t>
            </w:r>
          </w:p>
          <w:p w14:paraId="6E2DAFE4" w14:textId="77777777" w:rsidR="00FA396A" w:rsidRDefault="007E7FB0">
            <w:pPr>
              <w:numPr>
                <w:ilvl w:val="0"/>
                <w:numId w:val="1"/>
              </w:num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合同管理及拓展运用</w:t>
            </w:r>
          </w:p>
          <w:p w14:paraId="69C1B02B" w14:textId="77777777" w:rsidR="00FA396A" w:rsidRDefault="00FA396A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14:paraId="469042A7" w14:textId="77777777" w:rsidR="00FA396A" w:rsidRDefault="007E7FB0">
            <w:pPr>
              <w:numPr>
                <w:ilvl w:val="0"/>
                <w:numId w:val="2"/>
              </w:num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掌握合同审查的内容和方法</w:t>
            </w:r>
          </w:p>
          <w:p w14:paraId="2759E320" w14:textId="77777777" w:rsidR="00FA396A" w:rsidRDefault="007E7FB0">
            <w:pPr>
              <w:numPr>
                <w:ilvl w:val="0"/>
                <w:numId w:val="2"/>
              </w:num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合同语言的规范和合同文本的修改</w:t>
            </w:r>
          </w:p>
          <w:p w14:paraId="3E6B1007" w14:textId="77777777" w:rsidR="00FA396A" w:rsidRDefault="00FA396A">
            <w:pPr>
              <w:rPr>
                <w:sz w:val="24"/>
              </w:rPr>
            </w:pPr>
          </w:p>
        </w:tc>
      </w:tr>
      <w:tr w:rsidR="00FA396A" w14:paraId="7DEBF8EE" w14:textId="77777777">
        <w:trPr>
          <w:trHeight w:val="1871"/>
          <w:jc w:val="center"/>
        </w:trPr>
        <w:tc>
          <w:tcPr>
            <w:tcW w:w="1239" w:type="dxa"/>
            <w:vMerge w:val="restart"/>
            <w:vAlign w:val="center"/>
          </w:tcPr>
          <w:p w14:paraId="7A121774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3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231AC044" w14:textId="77777777" w:rsidR="00FA396A" w:rsidRDefault="007E7FB0">
            <w:pPr>
              <w:ind w:firstLineChars="50" w:firstLine="112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23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14:paraId="544EC5BF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当事人关系</w:t>
            </w:r>
          </w:p>
        </w:tc>
        <w:tc>
          <w:tcPr>
            <w:tcW w:w="738" w:type="dxa"/>
            <w:vAlign w:val="center"/>
          </w:tcPr>
          <w:p w14:paraId="6D051071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</w:t>
            </w:r>
          </w:p>
        </w:tc>
        <w:tc>
          <w:tcPr>
            <w:tcW w:w="1229" w:type="dxa"/>
            <w:vMerge w:val="restart"/>
            <w:vAlign w:val="center"/>
          </w:tcPr>
          <w:p w14:paraId="7654BA01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14:paraId="2B70BB6A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</w:tc>
        <w:tc>
          <w:tcPr>
            <w:tcW w:w="2669" w:type="dxa"/>
            <w:vMerge w:val="restart"/>
            <w:vAlign w:val="center"/>
          </w:tcPr>
          <w:p w14:paraId="1ED29F83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．接待当事人技巧及应注意的问题</w:t>
            </w:r>
          </w:p>
          <w:p w14:paraId="113E1B71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．咨询技巧及应注意的问题</w:t>
            </w:r>
          </w:p>
          <w:p w14:paraId="16AF7008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．接待和咨询中应如何做笔录</w:t>
            </w:r>
          </w:p>
          <w:p w14:paraId="63699C4D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14:paraId="659E150E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学习如何取得当事人</w:t>
            </w:r>
            <w:r>
              <w:rPr>
                <w:rFonts w:hint="eastAsia"/>
                <w:sz w:val="24"/>
              </w:rPr>
              <w:t>信任</w:t>
            </w:r>
            <w:r>
              <w:rPr>
                <w:rFonts w:hint="eastAsia"/>
                <w:sz w:val="24"/>
              </w:rPr>
              <w:t>，如何收集关于案件的全面的信息和证据材料</w:t>
            </w:r>
          </w:p>
          <w:p w14:paraId="7C9AA72E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遵循诚实守信原则，</w:t>
            </w: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</w:rPr>
              <w:t>客观告知法律风险，不得故意对可能出现的风险做不恰当的表述或做虚假承诺</w:t>
            </w:r>
          </w:p>
          <w:p w14:paraId="540C7B88" w14:textId="77777777" w:rsidR="00FA396A" w:rsidRDefault="00FA396A">
            <w:pPr>
              <w:rPr>
                <w:sz w:val="24"/>
              </w:rPr>
            </w:pPr>
          </w:p>
        </w:tc>
      </w:tr>
      <w:tr w:rsidR="00FA396A" w14:paraId="3AE0C051" w14:textId="77777777">
        <w:trPr>
          <w:trHeight w:val="1871"/>
          <w:jc w:val="center"/>
        </w:trPr>
        <w:tc>
          <w:tcPr>
            <w:tcW w:w="1239" w:type="dxa"/>
            <w:vMerge/>
            <w:vAlign w:val="center"/>
          </w:tcPr>
          <w:p w14:paraId="60B9AB36" w14:textId="77777777" w:rsidR="00FA396A" w:rsidRDefault="00FA396A">
            <w:pPr>
              <w:jc w:val="center"/>
            </w:pPr>
          </w:p>
        </w:tc>
        <w:tc>
          <w:tcPr>
            <w:tcW w:w="737" w:type="dxa"/>
            <w:gridSpan w:val="2"/>
            <w:vMerge/>
            <w:vAlign w:val="center"/>
          </w:tcPr>
          <w:p w14:paraId="4DEA0E0F" w14:textId="77777777" w:rsidR="00FA396A" w:rsidRDefault="00FA396A">
            <w:pPr>
              <w:jc w:val="center"/>
            </w:pPr>
          </w:p>
        </w:tc>
        <w:tc>
          <w:tcPr>
            <w:tcW w:w="738" w:type="dxa"/>
            <w:vAlign w:val="center"/>
          </w:tcPr>
          <w:p w14:paraId="272A2E51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</w:t>
            </w:r>
          </w:p>
        </w:tc>
        <w:tc>
          <w:tcPr>
            <w:tcW w:w="1229" w:type="dxa"/>
            <w:vMerge/>
            <w:vAlign w:val="center"/>
          </w:tcPr>
          <w:p w14:paraId="183F9D3D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Merge/>
            <w:vAlign w:val="center"/>
          </w:tcPr>
          <w:p w14:paraId="5B7FEF65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560FE569" w14:textId="77777777" w:rsidR="00FA396A" w:rsidRDefault="00FA396A">
            <w:pPr>
              <w:jc w:val="center"/>
              <w:rPr>
                <w:sz w:val="24"/>
              </w:rPr>
            </w:pPr>
          </w:p>
        </w:tc>
      </w:tr>
      <w:tr w:rsidR="00FA396A" w14:paraId="35CCF864" w14:textId="77777777">
        <w:trPr>
          <w:trHeight w:val="90"/>
          <w:jc w:val="center"/>
        </w:trPr>
        <w:tc>
          <w:tcPr>
            <w:tcW w:w="1239" w:type="dxa"/>
            <w:vAlign w:val="center"/>
          </w:tcPr>
          <w:p w14:paraId="5B3EAEBA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第</w:t>
            </w:r>
            <w:r>
              <w:rPr>
                <w:rFonts w:hint="eastAsia"/>
                <w:spacing w:val="-8"/>
                <w:sz w:val="24"/>
              </w:rPr>
              <w:t>4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0EC20478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30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44321C7A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民事案件办案流程与</w:t>
            </w:r>
            <w:r>
              <w:rPr>
                <w:rFonts w:hint="eastAsia"/>
                <w:sz w:val="24"/>
              </w:rPr>
              <w:t>立案</w:t>
            </w:r>
            <w:r>
              <w:rPr>
                <w:rFonts w:hint="eastAsia"/>
                <w:sz w:val="24"/>
              </w:rPr>
              <w:t>技巧</w:t>
            </w:r>
          </w:p>
        </w:tc>
        <w:tc>
          <w:tcPr>
            <w:tcW w:w="1229" w:type="dxa"/>
            <w:vAlign w:val="center"/>
          </w:tcPr>
          <w:p w14:paraId="517B4697" w14:textId="77777777" w:rsidR="00FA396A" w:rsidRDefault="007E7FB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14:paraId="014FF9A2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李方</w:t>
            </w:r>
          </w:p>
        </w:tc>
        <w:tc>
          <w:tcPr>
            <w:tcW w:w="2669" w:type="dxa"/>
            <w:vAlign w:val="center"/>
          </w:tcPr>
          <w:p w14:paraId="7428691B" w14:textId="77777777" w:rsidR="00FA396A" w:rsidRDefault="007E7FB0">
            <w:pPr>
              <w:numPr>
                <w:ilvl w:val="0"/>
                <w:numId w:val="3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通过案例介绍民事案件的办案流程</w:t>
            </w:r>
          </w:p>
          <w:p w14:paraId="4D5525EC" w14:textId="77777777" w:rsidR="00FA396A" w:rsidRDefault="007E7FB0">
            <w:pPr>
              <w:numPr>
                <w:ilvl w:val="0"/>
                <w:numId w:val="3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立案常见问题和应对技巧</w:t>
            </w:r>
          </w:p>
          <w:p w14:paraId="569CB084" w14:textId="77777777" w:rsidR="00FA396A" w:rsidRDefault="007E7FB0">
            <w:pPr>
              <w:numPr>
                <w:ilvl w:val="0"/>
                <w:numId w:val="3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起诉状和答辩状的撰写方法</w:t>
            </w:r>
          </w:p>
          <w:p w14:paraId="542C935D" w14:textId="77777777" w:rsidR="00FA396A" w:rsidRDefault="00FA396A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14:paraId="4D1E47B4" w14:textId="77777777" w:rsidR="00FA396A" w:rsidRDefault="007E7FB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熟悉民事案件办案流程</w:t>
            </w:r>
          </w:p>
          <w:p w14:paraId="1DB193F8" w14:textId="77777777" w:rsidR="00FA396A" w:rsidRDefault="007E7FB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掌握书状撰写的基本要求和进阶要求</w:t>
            </w:r>
          </w:p>
          <w:p w14:paraId="408640D3" w14:textId="77777777" w:rsidR="00FA396A" w:rsidRDefault="007E7FB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明确</w:t>
            </w:r>
            <w:r>
              <w:rPr>
                <w:rFonts w:hint="eastAsia"/>
                <w:sz w:val="24"/>
              </w:rPr>
              <w:t>严守国家机密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保守委托人的商业秘密及委托人的隐私</w:t>
            </w:r>
            <w:r>
              <w:rPr>
                <w:rFonts w:hint="eastAsia"/>
                <w:sz w:val="24"/>
              </w:rPr>
              <w:t>是法律人的基本要求</w:t>
            </w:r>
          </w:p>
          <w:p w14:paraId="7971AD2D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  <w:p w14:paraId="190D7EFA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</w:tc>
      </w:tr>
      <w:tr w:rsidR="00FA396A" w14:paraId="0D50752E" w14:textId="77777777">
        <w:trPr>
          <w:trHeight w:val="1910"/>
          <w:jc w:val="center"/>
        </w:trPr>
        <w:tc>
          <w:tcPr>
            <w:tcW w:w="1239" w:type="dxa"/>
            <w:vAlign w:val="center"/>
          </w:tcPr>
          <w:p w14:paraId="1361D751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5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2B8E00BD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7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01BF22FD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诉讼策略</w:t>
            </w:r>
          </w:p>
          <w:p w14:paraId="1CADEC99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制定</w:t>
            </w:r>
          </w:p>
        </w:tc>
        <w:tc>
          <w:tcPr>
            <w:tcW w:w="1229" w:type="dxa"/>
            <w:vAlign w:val="center"/>
          </w:tcPr>
          <w:p w14:paraId="575A7543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张杰</w:t>
            </w:r>
            <w:r>
              <w:rPr>
                <w:rFonts w:hint="eastAsia"/>
                <w:sz w:val="24"/>
              </w:rPr>
              <w:t>律师主讲</w:t>
            </w:r>
          </w:p>
        </w:tc>
        <w:tc>
          <w:tcPr>
            <w:tcW w:w="2669" w:type="dxa"/>
            <w:vAlign w:val="center"/>
          </w:tcPr>
          <w:p w14:paraId="4451675A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通过实务中的案件，进一步了解办理案件的方法和技巧</w:t>
            </w:r>
          </w:p>
          <w:p w14:paraId="01F6C3A3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制定诉讼策略，实现最佳效益</w:t>
            </w:r>
          </w:p>
          <w:p w14:paraId="72BBF2D1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对法律或律师执业规范所禁止的</w:t>
            </w:r>
            <w:r>
              <w:rPr>
                <w:rFonts w:hint="eastAsia"/>
                <w:sz w:val="24"/>
              </w:rPr>
              <w:t>委托事项的态度和应对方法</w:t>
            </w:r>
          </w:p>
        </w:tc>
        <w:tc>
          <w:tcPr>
            <w:tcW w:w="3324" w:type="dxa"/>
            <w:vAlign w:val="center"/>
          </w:tcPr>
          <w:p w14:paraId="2F5F3B62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了解制定诉讼策略的意义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影响诉讼策略的</w:t>
            </w:r>
            <w:r>
              <w:rPr>
                <w:rFonts w:hint="eastAsia"/>
                <w:sz w:val="24"/>
              </w:rPr>
              <w:t>各个</w:t>
            </w:r>
            <w:r>
              <w:rPr>
                <w:rFonts w:hint="eastAsia"/>
                <w:sz w:val="24"/>
              </w:rPr>
              <w:t>因素</w:t>
            </w:r>
          </w:p>
          <w:p w14:paraId="7375E7F4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掌握制定诉讼策略的方法</w:t>
            </w:r>
          </w:p>
        </w:tc>
      </w:tr>
      <w:tr w:rsidR="00FA396A" w14:paraId="5C35F02B" w14:textId="77777777">
        <w:trPr>
          <w:trHeight w:val="2175"/>
          <w:jc w:val="center"/>
        </w:trPr>
        <w:tc>
          <w:tcPr>
            <w:tcW w:w="1239" w:type="dxa"/>
            <w:vAlign w:val="center"/>
          </w:tcPr>
          <w:p w14:paraId="62AC0ACC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6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7D2730F0" w14:textId="77777777" w:rsidR="00FA396A" w:rsidRDefault="007E7FB0">
            <w:pPr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14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638D588D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证据的运用</w:t>
            </w:r>
          </w:p>
        </w:tc>
        <w:tc>
          <w:tcPr>
            <w:tcW w:w="1229" w:type="dxa"/>
            <w:vAlign w:val="center"/>
          </w:tcPr>
          <w:p w14:paraId="408B12AF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李方</w:t>
            </w:r>
          </w:p>
          <w:p w14:paraId="325887E9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</w:tc>
        <w:tc>
          <w:tcPr>
            <w:tcW w:w="2669" w:type="dxa"/>
            <w:vAlign w:val="center"/>
          </w:tcPr>
          <w:p w14:paraId="0962C24D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事实的确认和把握</w:t>
            </w:r>
          </w:p>
          <w:p w14:paraId="2CC4B07B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证据的获取与分析</w:t>
            </w:r>
          </w:p>
          <w:p w14:paraId="10B3347B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证据规则的理解与适用</w:t>
            </w:r>
          </w:p>
        </w:tc>
        <w:tc>
          <w:tcPr>
            <w:tcW w:w="3324" w:type="dxa"/>
            <w:vAlign w:val="center"/>
          </w:tcPr>
          <w:p w14:paraId="45F10556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如何依据案情获取相应证据</w:t>
            </w:r>
          </w:p>
          <w:p w14:paraId="4A6685FD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学习证据规则的运用</w:t>
            </w:r>
          </w:p>
          <w:p w14:paraId="5A2F1B44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确立</w:t>
            </w:r>
            <w:r>
              <w:rPr>
                <w:rFonts w:hint="eastAsia"/>
                <w:sz w:val="24"/>
              </w:rPr>
              <w:t>依法取证、不伪造证据、不提供虚假证词</w:t>
            </w:r>
            <w:r>
              <w:rPr>
                <w:rFonts w:hint="eastAsia"/>
                <w:sz w:val="24"/>
              </w:rPr>
              <w:t>的红线</w:t>
            </w:r>
          </w:p>
        </w:tc>
      </w:tr>
      <w:tr w:rsidR="00FA396A" w14:paraId="5AB9B89C" w14:textId="77777777">
        <w:trPr>
          <w:trHeight w:val="2471"/>
          <w:jc w:val="center"/>
        </w:trPr>
        <w:tc>
          <w:tcPr>
            <w:tcW w:w="1239" w:type="dxa"/>
            <w:vAlign w:val="center"/>
          </w:tcPr>
          <w:p w14:paraId="1C4B941D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7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1A7DE4FE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21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6AC6B08C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谈判与调解</w:t>
            </w:r>
          </w:p>
        </w:tc>
        <w:tc>
          <w:tcPr>
            <w:tcW w:w="1229" w:type="dxa"/>
            <w:vAlign w:val="center"/>
          </w:tcPr>
          <w:p w14:paraId="636FE79D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14:paraId="57155C82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</w:tc>
        <w:tc>
          <w:tcPr>
            <w:tcW w:w="2669" w:type="dxa"/>
            <w:vAlign w:val="center"/>
          </w:tcPr>
          <w:p w14:paraId="698AC556" w14:textId="77777777" w:rsidR="00FA396A" w:rsidRDefault="007E7FB0">
            <w:pPr>
              <w:ind w:left="307" w:hangingChars="128" w:hanging="3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．谈判中的技巧和应注意的问题</w:t>
            </w:r>
          </w:p>
          <w:p w14:paraId="0BC1537B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．调解的技巧和应注意的问题</w:t>
            </w:r>
          </w:p>
        </w:tc>
        <w:tc>
          <w:tcPr>
            <w:tcW w:w="3324" w:type="dxa"/>
            <w:vAlign w:val="center"/>
          </w:tcPr>
          <w:p w14:paraId="12AC43FE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掌握沟通、调解、谈判的各种方法</w:t>
            </w:r>
          </w:p>
          <w:p w14:paraId="75B9247D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通过实训体验进攻、防御的技巧，了解退让、固守的底线</w:t>
            </w:r>
          </w:p>
        </w:tc>
      </w:tr>
      <w:tr w:rsidR="00FA396A" w14:paraId="33B21E0E" w14:textId="77777777">
        <w:trPr>
          <w:trHeight w:val="1399"/>
          <w:jc w:val="center"/>
        </w:trPr>
        <w:tc>
          <w:tcPr>
            <w:tcW w:w="1239" w:type="dxa"/>
            <w:vMerge w:val="restart"/>
            <w:vAlign w:val="center"/>
          </w:tcPr>
          <w:p w14:paraId="21EC136A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8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78B17BB5" w14:textId="77777777" w:rsidR="00FA396A" w:rsidRDefault="007E7FB0">
            <w:pPr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28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4BE3C36B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中期小结</w:t>
            </w:r>
          </w:p>
        </w:tc>
        <w:tc>
          <w:tcPr>
            <w:tcW w:w="1229" w:type="dxa"/>
            <w:vMerge w:val="restart"/>
            <w:vAlign w:val="center"/>
          </w:tcPr>
          <w:p w14:paraId="7BCCB2AA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 w14:paraId="76EF18F1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14:paraId="4D9CD90D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14:paraId="153F992C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14:paraId="43E3F178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14:paraId="1AB3632F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14:paraId="6EF0CCB3" w14:textId="77777777" w:rsidR="00FA396A" w:rsidRDefault="00FA396A">
            <w:pPr>
              <w:jc w:val="center"/>
              <w:rPr>
                <w:sz w:val="24"/>
              </w:rPr>
            </w:pPr>
          </w:p>
          <w:p w14:paraId="26E9EBEF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770D01DE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．学生分组汇报</w:t>
            </w:r>
            <w:r>
              <w:rPr>
                <w:rFonts w:hint="eastAsia"/>
                <w:sz w:val="24"/>
              </w:rPr>
              <w:t>小组学习</w:t>
            </w:r>
            <w:r>
              <w:rPr>
                <w:rFonts w:hint="eastAsia"/>
                <w:sz w:val="24"/>
              </w:rPr>
              <w:t>进展情况（必须制作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，小组分工合作进行汇报）</w:t>
            </w:r>
          </w:p>
          <w:p w14:paraId="490D9DE1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．对前期教学实践进行反馈</w:t>
            </w:r>
            <w:r>
              <w:rPr>
                <w:rFonts w:hint="eastAsia"/>
                <w:sz w:val="24"/>
              </w:rPr>
              <w:t>总结</w:t>
            </w:r>
          </w:p>
          <w:p w14:paraId="2A6EA0DF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14:paraId="711E6692" w14:textId="77777777" w:rsidR="00FA396A" w:rsidRDefault="007E7FB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了解办案进度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检查网上旁听情况</w:t>
            </w:r>
          </w:p>
          <w:p w14:paraId="3651EDE5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对前期办案进行小结</w:t>
            </w:r>
          </w:p>
          <w:p w14:paraId="0020319A" w14:textId="77777777" w:rsidR="00FA396A" w:rsidRDefault="007E7FB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培养学生互相协作，解决问题的能力</w:t>
            </w:r>
          </w:p>
          <w:p w14:paraId="6E1B9864" w14:textId="77777777" w:rsidR="00FA396A" w:rsidRDefault="007E7FB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检查学生是否严格按照法律规定的期限、时效以及与委托人约定的时间，及时办理委托的事务。</w:t>
            </w:r>
          </w:p>
        </w:tc>
      </w:tr>
      <w:tr w:rsidR="00FA396A" w14:paraId="760AAD97" w14:textId="77777777">
        <w:trPr>
          <w:trHeight w:val="1399"/>
          <w:jc w:val="center"/>
        </w:trPr>
        <w:tc>
          <w:tcPr>
            <w:tcW w:w="1239" w:type="dxa"/>
            <w:vMerge/>
            <w:vAlign w:val="center"/>
          </w:tcPr>
          <w:p w14:paraId="5337CC56" w14:textId="77777777" w:rsidR="00FA396A" w:rsidRDefault="00FA396A">
            <w:pPr>
              <w:jc w:val="center"/>
            </w:pPr>
          </w:p>
        </w:tc>
        <w:tc>
          <w:tcPr>
            <w:tcW w:w="1475" w:type="dxa"/>
            <w:gridSpan w:val="3"/>
            <w:vAlign w:val="center"/>
          </w:tcPr>
          <w:p w14:paraId="1EA6E380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听取学生</w:t>
            </w:r>
          </w:p>
          <w:p w14:paraId="03725A54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反馈</w:t>
            </w:r>
          </w:p>
        </w:tc>
        <w:tc>
          <w:tcPr>
            <w:tcW w:w="1229" w:type="dxa"/>
            <w:vMerge/>
            <w:vAlign w:val="center"/>
          </w:tcPr>
          <w:p w14:paraId="54FFFE2A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Merge/>
            <w:vAlign w:val="center"/>
          </w:tcPr>
          <w:p w14:paraId="7BC66D31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0657EC23" w14:textId="77777777" w:rsidR="00FA396A" w:rsidRDefault="00FA396A">
            <w:pPr>
              <w:jc w:val="center"/>
              <w:rPr>
                <w:sz w:val="24"/>
              </w:rPr>
            </w:pPr>
          </w:p>
        </w:tc>
      </w:tr>
      <w:tr w:rsidR="00FA396A" w14:paraId="5597235A" w14:textId="77777777">
        <w:trPr>
          <w:trHeight w:val="1389"/>
          <w:jc w:val="center"/>
        </w:trPr>
        <w:tc>
          <w:tcPr>
            <w:tcW w:w="1239" w:type="dxa"/>
            <w:vAlign w:val="center"/>
          </w:tcPr>
          <w:p w14:paraId="12B26083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602D2F5F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4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407F28AD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律师实务</w:t>
            </w:r>
          </w:p>
          <w:p w14:paraId="69485487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专题</w:t>
            </w:r>
          </w:p>
        </w:tc>
        <w:tc>
          <w:tcPr>
            <w:tcW w:w="1229" w:type="dxa"/>
            <w:vAlign w:val="center"/>
          </w:tcPr>
          <w:p w14:paraId="16DFBD86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廖晖律师主讲</w:t>
            </w:r>
          </w:p>
        </w:tc>
        <w:tc>
          <w:tcPr>
            <w:tcW w:w="2669" w:type="dxa"/>
            <w:vAlign w:val="center"/>
          </w:tcPr>
          <w:p w14:paraId="20768889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具体授课内容由主讲教师自定</w:t>
            </w:r>
          </w:p>
          <w:p w14:paraId="7E60B4DA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律师</w:t>
            </w:r>
            <w:r>
              <w:rPr>
                <w:rFonts w:hint="eastAsia"/>
                <w:sz w:val="24"/>
              </w:rPr>
              <w:t>职业道德</w:t>
            </w:r>
            <w:r>
              <w:rPr>
                <w:rFonts w:hint="eastAsia"/>
                <w:sz w:val="24"/>
              </w:rPr>
              <w:t>困境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>应对</w:t>
            </w:r>
            <w:r>
              <w:rPr>
                <w:rFonts w:hint="eastAsia"/>
                <w:sz w:val="24"/>
              </w:rPr>
              <w:t>方法</w:t>
            </w:r>
          </w:p>
        </w:tc>
        <w:tc>
          <w:tcPr>
            <w:tcW w:w="3324" w:type="dxa"/>
            <w:vAlign w:val="center"/>
          </w:tcPr>
          <w:p w14:paraId="5F06FB2A" w14:textId="77777777" w:rsidR="00FA396A" w:rsidRDefault="007E7FB0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强化</w:t>
            </w:r>
            <w:r>
              <w:rPr>
                <w:rFonts w:hint="eastAsia"/>
                <w:sz w:val="24"/>
              </w:rPr>
              <w:t>学生的</w:t>
            </w:r>
            <w:r>
              <w:rPr>
                <w:rFonts w:hint="eastAsia"/>
                <w:sz w:val="24"/>
              </w:rPr>
              <w:t>实务技能</w:t>
            </w:r>
          </w:p>
          <w:p w14:paraId="29DE70B9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．培养学生的使命感、责任感</w:t>
            </w:r>
          </w:p>
        </w:tc>
      </w:tr>
      <w:tr w:rsidR="00FA396A" w14:paraId="634882A1" w14:textId="77777777">
        <w:trPr>
          <w:trHeight w:val="2244"/>
          <w:jc w:val="center"/>
        </w:trPr>
        <w:tc>
          <w:tcPr>
            <w:tcW w:w="1239" w:type="dxa"/>
            <w:vAlign w:val="center"/>
          </w:tcPr>
          <w:p w14:paraId="22340BBD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第</w:t>
            </w: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41B3158C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0E4E6511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婚姻家庭纠纷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劳动争议案件办理</w:t>
            </w:r>
          </w:p>
        </w:tc>
        <w:tc>
          <w:tcPr>
            <w:tcW w:w="1229" w:type="dxa"/>
            <w:vAlign w:val="center"/>
          </w:tcPr>
          <w:p w14:paraId="70880268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14:paraId="2CD149B1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</w:tc>
        <w:tc>
          <w:tcPr>
            <w:tcW w:w="2669" w:type="dxa"/>
            <w:vAlign w:val="center"/>
          </w:tcPr>
          <w:p w14:paraId="7404D327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．办理婚姻家庭纠纷以及劳动争议案件的</w:t>
            </w:r>
            <w:r>
              <w:rPr>
                <w:rFonts w:hint="eastAsia"/>
                <w:sz w:val="24"/>
              </w:rPr>
              <w:t>规则和方法</w:t>
            </w:r>
          </w:p>
          <w:p w14:paraId="782586C9" w14:textId="77777777" w:rsidR="00FA396A" w:rsidRDefault="007E7FB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．应注意的重要事项</w:t>
            </w:r>
          </w:p>
          <w:p w14:paraId="52B0C488" w14:textId="77777777" w:rsidR="00FA396A" w:rsidRDefault="007E7FB0">
            <w:pPr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．案件策划</w:t>
            </w:r>
          </w:p>
        </w:tc>
        <w:tc>
          <w:tcPr>
            <w:tcW w:w="3324" w:type="dxa"/>
            <w:vAlign w:val="center"/>
          </w:tcPr>
          <w:p w14:paraId="62706474" w14:textId="77777777" w:rsidR="00FA396A" w:rsidRDefault="007E7FB0">
            <w:pPr>
              <w:numPr>
                <w:ilvl w:val="0"/>
                <w:numId w:val="5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掌握办理婚姻家庭纠纷和劳动争议案件的策略和常用技巧</w:t>
            </w:r>
          </w:p>
          <w:p w14:paraId="0CCAA82F" w14:textId="77777777" w:rsidR="00FA396A" w:rsidRDefault="007E7FB0">
            <w:pPr>
              <w:numPr>
                <w:ilvl w:val="0"/>
                <w:numId w:val="5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熟悉</w:t>
            </w:r>
            <w:r>
              <w:rPr>
                <w:rFonts w:hint="eastAsia"/>
                <w:sz w:val="24"/>
              </w:rPr>
              <w:t>劳动争议案件的处理方法</w:t>
            </w:r>
          </w:p>
          <w:p w14:paraId="55A2D815" w14:textId="77777777" w:rsidR="00FA396A" w:rsidRDefault="007E7FB0">
            <w:pPr>
              <w:numPr>
                <w:ilvl w:val="0"/>
                <w:numId w:val="5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参加社会公益活动，为弱势群体提供法律援助</w:t>
            </w:r>
          </w:p>
        </w:tc>
      </w:tr>
      <w:tr w:rsidR="00FA396A" w14:paraId="781A1AF8" w14:textId="77777777">
        <w:trPr>
          <w:trHeight w:val="2839"/>
          <w:jc w:val="center"/>
        </w:trPr>
        <w:tc>
          <w:tcPr>
            <w:tcW w:w="1239" w:type="dxa"/>
            <w:vAlign w:val="center"/>
          </w:tcPr>
          <w:p w14:paraId="6FC854FE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737193CC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25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673FFF4E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诉讼可视化</w:t>
            </w:r>
          </w:p>
        </w:tc>
        <w:tc>
          <w:tcPr>
            <w:tcW w:w="1229" w:type="dxa"/>
            <w:vAlign w:val="center"/>
          </w:tcPr>
          <w:p w14:paraId="1D323977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王龙奎律师团队</w:t>
            </w:r>
          </w:p>
        </w:tc>
        <w:tc>
          <w:tcPr>
            <w:tcW w:w="2669" w:type="dxa"/>
            <w:vAlign w:val="center"/>
          </w:tcPr>
          <w:p w14:paraId="2AD353D0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诉讼可视化工具</w:t>
            </w:r>
          </w:p>
          <w:p w14:paraId="08431447" w14:textId="77777777" w:rsidR="00FA396A" w:rsidRDefault="007E7FB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诉讼可视化的基本方法</w:t>
            </w:r>
          </w:p>
          <w:p w14:paraId="106DA6BC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在诉讼中运用可视化方法的案例介绍</w:t>
            </w:r>
          </w:p>
        </w:tc>
        <w:tc>
          <w:tcPr>
            <w:tcW w:w="3324" w:type="dxa"/>
            <w:vAlign w:val="center"/>
          </w:tcPr>
          <w:p w14:paraId="59A243F3" w14:textId="77777777" w:rsidR="00FA396A" w:rsidRDefault="007E7FB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通过图表、影像、现场演示等可视化形式来向法官、仲裁员、当事人直观、清晰地展现示纠纷事实、法律关系和论证证逻辑</w:t>
            </w:r>
          </w:p>
          <w:p w14:paraId="4115B052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梳理复杂事实、高效传递信息、提升沟通质量</w:t>
            </w:r>
          </w:p>
        </w:tc>
      </w:tr>
      <w:tr w:rsidR="00FA396A" w14:paraId="266F6844" w14:textId="77777777">
        <w:trPr>
          <w:trHeight w:val="2126"/>
          <w:jc w:val="center"/>
        </w:trPr>
        <w:tc>
          <w:tcPr>
            <w:tcW w:w="1239" w:type="dxa"/>
            <w:vAlign w:val="center"/>
          </w:tcPr>
          <w:p w14:paraId="1C898C7D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2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63DF5C91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0AEF199F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法律人的综合素质和技能</w:t>
            </w:r>
          </w:p>
        </w:tc>
        <w:tc>
          <w:tcPr>
            <w:tcW w:w="1229" w:type="dxa"/>
            <w:vAlign w:val="center"/>
          </w:tcPr>
          <w:p w14:paraId="11B68E4E" w14:textId="77777777" w:rsidR="00FA396A" w:rsidRDefault="007E7FB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14:paraId="237DF9E4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Align w:val="center"/>
          </w:tcPr>
          <w:p w14:paraId="32E8521B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办理刑事案件</w:t>
            </w:r>
            <w:r>
              <w:rPr>
                <w:rFonts w:hint="eastAsia"/>
                <w:sz w:val="24"/>
              </w:rPr>
              <w:t>的流程和技巧</w:t>
            </w:r>
          </w:p>
          <w:p w14:paraId="15A2AB14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法律人的综合素质</w:t>
            </w:r>
          </w:p>
          <w:p w14:paraId="1C89ECDE" w14:textId="77777777" w:rsidR="00FA396A" w:rsidRDefault="007E7FB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法律风险防范</w:t>
            </w:r>
          </w:p>
        </w:tc>
        <w:tc>
          <w:tcPr>
            <w:tcW w:w="3324" w:type="dxa"/>
            <w:vAlign w:val="center"/>
          </w:tcPr>
          <w:p w14:paraId="7250C8E0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熟悉办理刑事案件的规则、策略和常用技巧</w:t>
            </w:r>
          </w:p>
          <w:p w14:paraId="20373D7A" w14:textId="77777777" w:rsidR="00FA396A" w:rsidRDefault="007E7FB0">
            <w:pPr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明确对法律人的综合素质及技能的要求</w:t>
            </w:r>
          </w:p>
          <w:p w14:paraId="023E2DCB" w14:textId="77777777" w:rsidR="00FA396A" w:rsidRDefault="007E7FB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培养学生</w:t>
            </w:r>
            <w:r>
              <w:rPr>
                <w:rFonts w:hint="eastAsia"/>
                <w:sz w:val="24"/>
              </w:rPr>
              <w:t>养成尊重同行、遵守法庭纪律、举止得体的行为习惯</w:t>
            </w:r>
          </w:p>
        </w:tc>
      </w:tr>
      <w:tr w:rsidR="00FA396A" w14:paraId="6948E06E" w14:textId="77777777">
        <w:trPr>
          <w:trHeight w:val="2443"/>
          <w:jc w:val="center"/>
        </w:trPr>
        <w:tc>
          <w:tcPr>
            <w:tcW w:w="1239" w:type="dxa"/>
            <w:vAlign w:val="center"/>
          </w:tcPr>
          <w:p w14:paraId="1AFFAFEE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3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5E0D02EB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3435D9D2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交叉</w:t>
            </w:r>
            <w:r>
              <w:rPr>
                <w:rFonts w:hint="eastAsia"/>
                <w:sz w:val="24"/>
              </w:rPr>
              <w:t>询问和辩论</w:t>
            </w:r>
            <w:r>
              <w:rPr>
                <w:rFonts w:hint="eastAsia"/>
                <w:sz w:val="24"/>
              </w:rPr>
              <w:t>技巧</w:t>
            </w:r>
          </w:p>
        </w:tc>
        <w:tc>
          <w:tcPr>
            <w:tcW w:w="1229" w:type="dxa"/>
            <w:vAlign w:val="center"/>
          </w:tcPr>
          <w:p w14:paraId="10F22F13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14:paraId="3604A0F4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14:paraId="6A9F7B31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Align w:val="center"/>
          </w:tcPr>
          <w:p w14:paraId="0345FCBE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模拟法庭调查和法庭辩论场景</w:t>
            </w:r>
          </w:p>
          <w:p w14:paraId="2EFDB4C1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学生进行对抗练习</w:t>
            </w:r>
          </w:p>
          <w:p w14:paraId="560C1EA4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师生总结、反馈</w:t>
            </w:r>
          </w:p>
        </w:tc>
        <w:tc>
          <w:tcPr>
            <w:tcW w:w="3324" w:type="dxa"/>
            <w:vAlign w:val="center"/>
          </w:tcPr>
          <w:p w14:paraId="2A0051D8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培养学生处理棘手问题的能力</w:t>
            </w:r>
          </w:p>
          <w:p w14:paraId="6950A442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训练学生的辩论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询问</w:t>
            </w:r>
            <w:r>
              <w:rPr>
                <w:rFonts w:hint="eastAsia"/>
                <w:sz w:val="24"/>
              </w:rPr>
              <w:t>技巧</w:t>
            </w:r>
          </w:p>
          <w:p w14:paraId="55BA5B2E" w14:textId="77777777" w:rsidR="00FA396A" w:rsidRDefault="00FA396A">
            <w:pPr>
              <w:ind w:left="360" w:hangingChars="150" w:hanging="360"/>
              <w:rPr>
                <w:sz w:val="24"/>
              </w:rPr>
            </w:pPr>
          </w:p>
        </w:tc>
      </w:tr>
      <w:tr w:rsidR="00FA396A" w14:paraId="56A9145E" w14:textId="77777777">
        <w:trPr>
          <w:jc w:val="center"/>
        </w:trPr>
        <w:tc>
          <w:tcPr>
            <w:tcW w:w="1239" w:type="dxa"/>
            <w:vAlign w:val="center"/>
          </w:tcPr>
          <w:p w14:paraId="2BD6CB4E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4</w:t>
            </w:r>
            <w:r>
              <w:rPr>
                <w:rFonts w:hint="eastAsia"/>
                <w:spacing w:val="-8"/>
                <w:sz w:val="24"/>
              </w:rPr>
              <w:t>次课</w:t>
            </w:r>
          </w:p>
          <w:p w14:paraId="6A424607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16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3"/>
            <w:vAlign w:val="center"/>
          </w:tcPr>
          <w:p w14:paraId="0B855A74" w14:textId="77777777" w:rsidR="00FA396A" w:rsidRDefault="00FA396A">
            <w:pPr>
              <w:jc w:val="center"/>
              <w:rPr>
                <w:sz w:val="24"/>
              </w:rPr>
            </w:pPr>
          </w:p>
          <w:p w14:paraId="15EBDACD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真实案件模拟开庭</w:t>
            </w:r>
            <w:r>
              <w:rPr>
                <w:rFonts w:hint="eastAsia"/>
                <w:sz w:val="24"/>
              </w:rPr>
              <w:t>准备</w:t>
            </w:r>
          </w:p>
          <w:p w14:paraId="1435A8F7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民事</w:t>
            </w:r>
            <w:r>
              <w:rPr>
                <w:rFonts w:hint="eastAsia"/>
                <w:sz w:val="24"/>
              </w:rPr>
              <w:t>）</w:t>
            </w:r>
          </w:p>
          <w:p w14:paraId="699FD1F0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345C598" w14:textId="77777777" w:rsidR="00FA396A" w:rsidRDefault="00FA396A">
            <w:pPr>
              <w:jc w:val="center"/>
              <w:rPr>
                <w:sz w:val="24"/>
              </w:rPr>
            </w:pPr>
          </w:p>
          <w:p w14:paraId="16BA3728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14:paraId="00E2B255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14:paraId="13E00E38" w14:textId="77777777" w:rsidR="00FA396A" w:rsidRDefault="00FA396A">
            <w:pPr>
              <w:jc w:val="center"/>
              <w:rPr>
                <w:sz w:val="24"/>
              </w:rPr>
            </w:pPr>
          </w:p>
          <w:p w14:paraId="158E3BAF" w14:textId="77777777" w:rsidR="00FA396A" w:rsidRDefault="00FA396A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Align w:val="center"/>
          </w:tcPr>
          <w:p w14:paraId="0C94768A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选定模拟庭审的案件</w:t>
            </w:r>
          </w:p>
          <w:p w14:paraId="369452AE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学生进行分组练习</w:t>
            </w:r>
          </w:p>
          <w:p w14:paraId="7334A46D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筛选参加模拟审判的成员</w:t>
            </w:r>
          </w:p>
        </w:tc>
        <w:tc>
          <w:tcPr>
            <w:tcW w:w="3324" w:type="dxa"/>
            <w:vAlign w:val="center"/>
          </w:tcPr>
          <w:p w14:paraId="4594EF92" w14:textId="77777777" w:rsidR="00FA396A" w:rsidRDefault="007E7FB0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熟悉民事案件庭审程序和规则</w:t>
            </w:r>
          </w:p>
          <w:p w14:paraId="7DB7852F" w14:textId="77777777" w:rsidR="00FA396A" w:rsidRDefault="007E7FB0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培养学生运用证据和</w:t>
            </w:r>
            <w:r>
              <w:rPr>
                <w:rFonts w:hint="eastAsia"/>
                <w:sz w:val="24"/>
              </w:rPr>
              <w:t>高效</w:t>
            </w:r>
            <w:r>
              <w:rPr>
                <w:rFonts w:hint="eastAsia"/>
                <w:sz w:val="24"/>
              </w:rPr>
              <w:t>辩论的技巧</w:t>
            </w:r>
          </w:p>
          <w:p w14:paraId="047D516A" w14:textId="77777777" w:rsidR="00FA396A" w:rsidRDefault="00FA396A">
            <w:pPr>
              <w:rPr>
                <w:sz w:val="24"/>
              </w:rPr>
            </w:pPr>
          </w:p>
        </w:tc>
      </w:tr>
      <w:tr w:rsidR="00FA396A" w14:paraId="4E108AD2" w14:textId="77777777">
        <w:trPr>
          <w:trHeight w:val="2283"/>
          <w:jc w:val="center"/>
        </w:trPr>
        <w:tc>
          <w:tcPr>
            <w:tcW w:w="1239" w:type="dxa"/>
            <w:vAlign w:val="center"/>
          </w:tcPr>
          <w:p w14:paraId="2F7F3137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5</w:t>
            </w:r>
            <w:r>
              <w:rPr>
                <w:rFonts w:hint="eastAsia"/>
                <w:spacing w:val="-8"/>
                <w:sz w:val="24"/>
              </w:rPr>
              <w:t>次课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</w:p>
          <w:p w14:paraId="3D8FE75E" w14:textId="77777777" w:rsidR="00FA396A" w:rsidRDefault="007E7FB0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23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 w14:paraId="54ABD990" w14:textId="77777777" w:rsidR="00FA396A" w:rsidRDefault="00FA396A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5FC6500A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走出诊所（模拟庭审、总结与评价</w:t>
            </w:r>
            <w:r>
              <w:rPr>
                <w:rFonts w:hint="eastAsia"/>
                <w:sz w:val="24"/>
              </w:rPr>
              <w:t>反馈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29" w:type="dxa"/>
            <w:vAlign w:val="center"/>
          </w:tcPr>
          <w:p w14:paraId="55F96A98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 w14:paraId="5C7B36B0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14:paraId="7DEDE63C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14:paraId="2AA68602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14:paraId="516FB818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14:paraId="45F6417E" w14:textId="77777777" w:rsidR="00FA396A" w:rsidRDefault="007E7F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14:paraId="133B5146" w14:textId="77777777" w:rsidR="00FA396A" w:rsidRDefault="00FA396A">
            <w:pPr>
              <w:rPr>
                <w:sz w:val="24"/>
              </w:rPr>
            </w:pPr>
          </w:p>
        </w:tc>
        <w:tc>
          <w:tcPr>
            <w:tcW w:w="2669" w:type="dxa"/>
            <w:vAlign w:val="center"/>
          </w:tcPr>
          <w:p w14:paraId="65A99D61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诊所学员和律师进行模拟审判对抗赛</w:t>
            </w:r>
          </w:p>
          <w:p w14:paraId="37077FDC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．学生</w:t>
            </w:r>
            <w:r>
              <w:rPr>
                <w:rFonts w:hint="eastAsia"/>
                <w:sz w:val="24"/>
              </w:rPr>
              <w:t>自我评价、</w:t>
            </w:r>
            <w:r>
              <w:rPr>
                <w:rFonts w:hint="eastAsia"/>
                <w:sz w:val="24"/>
              </w:rPr>
              <w:t>互相评价</w:t>
            </w:r>
          </w:p>
          <w:p w14:paraId="35C0EACC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评委和</w:t>
            </w:r>
            <w:r>
              <w:rPr>
                <w:rFonts w:hint="eastAsia"/>
                <w:sz w:val="24"/>
              </w:rPr>
              <w:t>教师评价</w:t>
            </w:r>
          </w:p>
          <w:p w14:paraId="44FC5FB6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．教学信息反馈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总结教学成果</w:t>
            </w:r>
          </w:p>
          <w:p w14:paraId="20F0AD86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颁发结业证书</w:t>
            </w:r>
          </w:p>
        </w:tc>
        <w:tc>
          <w:tcPr>
            <w:tcW w:w="3324" w:type="dxa"/>
            <w:vAlign w:val="center"/>
          </w:tcPr>
          <w:p w14:paraId="4C3DB071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通过和律师进行模拟法庭对抗赛，了解差距，提高水平</w:t>
            </w:r>
          </w:p>
          <w:p w14:paraId="75A6B2D1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树立往后的学习目标</w:t>
            </w:r>
          </w:p>
          <w:p w14:paraId="1726FEFA" w14:textId="77777777" w:rsidR="00FA396A" w:rsidRDefault="007E7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从经验中学习、从实践中学习，理解诊所教育精髓</w:t>
            </w:r>
          </w:p>
        </w:tc>
      </w:tr>
    </w:tbl>
    <w:p w14:paraId="6BAA777F" w14:textId="5B90B2C5" w:rsidR="00FA396A" w:rsidRDefault="007E7FB0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本学期上课时间为</w:t>
      </w:r>
      <w:r>
        <w:rPr>
          <w:rFonts w:hint="eastAsia"/>
          <w:sz w:val="28"/>
          <w:szCs w:val="28"/>
          <w:u w:val="single"/>
        </w:rPr>
        <w:t>每周</w:t>
      </w:r>
      <w:r>
        <w:rPr>
          <w:rFonts w:hint="eastAsia"/>
          <w:sz w:val="28"/>
          <w:szCs w:val="28"/>
          <w:u w:val="single"/>
        </w:rPr>
        <w:t>三</w:t>
      </w:r>
      <w:r>
        <w:rPr>
          <w:rFonts w:hint="eastAsia"/>
          <w:sz w:val="28"/>
          <w:szCs w:val="28"/>
          <w:u w:val="single"/>
        </w:rPr>
        <w:t>晚上</w:t>
      </w:r>
      <w:r>
        <w:rPr>
          <w:rFonts w:hint="eastAsia"/>
          <w:sz w:val="28"/>
          <w:szCs w:val="28"/>
        </w:rPr>
        <w:t>19:30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21:10</w:t>
      </w:r>
      <w:r>
        <w:rPr>
          <w:rFonts w:hint="eastAsia"/>
          <w:sz w:val="28"/>
          <w:szCs w:val="28"/>
        </w:rPr>
        <w:t>。</w:t>
      </w:r>
    </w:p>
    <w:p w14:paraId="05B741D8" w14:textId="77777777" w:rsidR="00FA396A" w:rsidRDefault="007E7FB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上课地点：社科楼</w:t>
      </w:r>
      <w:r>
        <w:rPr>
          <w:rFonts w:hint="eastAsia"/>
          <w:sz w:val="28"/>
          <w:szCs w:val="28"/>
        </w:rPr>
        <w:t>C619</w:t>
      </w:r>
      <w:r>
        <w:rPr>
          <w:rFonts w:hint="eastAsia"/>
          <w:sz w:val="28"/>
          <w:szCs w:val="28"/>
        </w:rPr>
        <w:t>教室（法学院办公楼六楼）。由班长负责管理上课教室的钥匙并负责</w:t>
      </w:r>
      <w:r>
        <w:rPr>
          <w:rFonts w:ascii="黑体" w:eastAsia="黑体" w:hAnsi="黑体" w:hint="eastAsia"/>
          <w:b/>
          <w:bCs/>
          <w:sz w:val="28"/>
          <w:szCs w:val="28"/>
        </w:rPr>
        <w:t>安排同学于下课后及时清洁课室卫生。</w:t>
      </w:r>
    </w:p>
    <w:p w14:paraId="6265B4F0" w14:textId="77777777" w:rsidR="00FA396A" w:rsidRDefault="007E7FB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按教学计划开展案件模拟审判，学生在出庭前要服从指导教师的安排，集中进行演练。</w:t>
      </w:r>
    </w:p>
    <w:p w14:paraId="72DB413D" w14:textId="77777777" w:rsidR="00FA396A" w:rsidRDefault="007E7FB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课堂教学安排在第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周结束，实践教学环节（诊所值班）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周结束。</w:t>
      </w:r>
      <w:r>
        <w:rPr>
          <w:rFonts w:hint="eastAsia"/>
          <w:sz w:val="28"/>
          <w:szCs w:val="28"/>
        </w:rPr>
        <w:t>寒假</w:t>
      </w:r>
      <w:r>
        <w:rPr>
          <w:rFonts w:hint="eastAsia"/>
          <w:sz w:val="28"/>
          <w:szCs w:val="28"/>
        </w:rPr>
        <w:t>期间，有案件承办的同学继续办理，如有特别原因导致案件无法继续代理，须向指导教师提出申请后移交。</w:t>
      </w:r>
    </w:p>
    <w:p w14:paraId="6062AA22" w14:textId="77777777" w:rsidR="00FA396A" w:rsidRDefault="007E7FB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每位同学</w:t>
      </w:r>
      <w:r>
        <w:rPr>
          <w:rFonts w:hint="eastAsia"/>
          <w:sz w:val="28"/>
          <w:szCs w:val="28"/>
        </w:rPr>
        <w:t>在本学期</w:t>
      </w:r>
      <w:r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</w:rPr>
        <w:t>以小组为单位</w:t>
      </w:r>
      <w:r>
        <w:rPr>
          <w:rFonts w:hint="eastAsia"/>
          <w:sz w:val="28"/>
          <w:szCs w:val="28"/>
        </w:rPr>
        <w:t>旁听两次案件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民事案件和</w:t>
      </w:r>
      <w:r>
        <w:rPr>
          <w:rFonts w:hint="eastAsia"/>
          <w:sz w:val="28"/>
          <w:szCs w:val="28"/>
        </w:rPr>
        <w:t>刑事案件各一次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就两个案件的旁听情况</w:t>
      </w:r>
      <w:r>
        <w:rPr>
          <w:rFonts w:hint="eastAsia"/>
          <w:sz w:val="28"/>
          <w:szCs w:val="28"/>
        </w:rPr>
        <w:t>交一份旁听心得，到法院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劳动争议仲裁委员会旁听庭审由各</w:t>
      </w:r>
      <w:r>
        <w:rPr>
          <w:rFonts w:hint="eastAsia"/>
          <w:sz w:val="28"/>
          <w:szCs w:val="28"/>
        </w:rPr>
        <w:t>小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自行组织</w:t>
      </w:r>
      <w:r>
        <w:rPr>
          <w:rFonts w:hint="eastAsia"/>
          <w:sz w:val="28"/>
          <w:szCs w:val="28"/>
        </w:rPr>
        <w:t>。</w:t>
      </w:r>
    </w:p>
    <w:p w14:paraId="4425C69F" w14:textId="77777777" w:rsidR="00FA396A" w:rsidRDefault="007E7FB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期末需要提交的材料除旁听心得之外，还有代理案件总结、课堂笔记和值班记录，法律诊所课程的成绩由代</w:t>
      </w:r>
      <w:r>
        <w:rPr>
          <w:rFonts w:hint="eastAsia"/>
          <w:sz w:val="28"/>
          <w:szCs w:val="28"/>
        </w:rPr>
        <w:t>理案件情况、中期考核、</w:t>
      </w:r>
      <w:r>
        <w:rPr>
          <w:rFonts w:hint="eastAsia"/>
          <w:sz w:val="28"/>
          <w:szCs w:val="28"/>
        </w:rPr>
        <w:t>作业、旁听心得、</w:t>
      </w:r>
      <w:r>
        <w:rPr>
          <w:rFonts w:hint="eastAsia"/>
          <w:sz w:val="28"/>
          <w:szCs w:val="28"/>
        </w:rPr>
        <w:t>模拟庭审、</w:t>
      </w:r>
      <w:r>
        <w:rPr>
          <w:rFonts w:hint="eastAsia"/>
          <w:sz w:val="28"/>
          <w:szCs w:val="28"/>
        </w:rPr>
        <w:t>课堂表现、</w:t>
      </w:r>
      <w:r>
        <w:rPr>
          <w:rFonts w:hint="eastAsia"/>
          <w:sz w:val="28"/>
          <w:szCs w:val="28"/>
        </w:rPr>
        <w:t>值班</w:t>
      </w:r>
      <w:r>
        <w:rPr>
          <w:rFonts w:hint="eastAsia"/>
          <w:sz w:val="28"/>
          <w:szCs w:val="28"/>
        </w:rPr>
        <w:t>和上课考勤</w:t>
      </w:r>
      <w:r>
        <w:rPr>
          <w:rFonts w:hint="eastAsia"/>
          <w:sz w:val="28"/>
          <w:szCs w:val="28"/>
        </w:rPr>
        <w:t>等综合评定。</w:t>
      </w:r>
      <w:r>
        <w:rPr>
          <w:rFonts w:hint="eastAsia"/>
          <w:b/>
          <w:bCs/>
          <w:sz w:val="28"/>
          <w:szCs w:val="28"/>
        </w:rPr>
        <w:t>值班和上课无故缺勤三次者，将不能取得本门课程成绩。</w:t>
      </w:r>
    </w:p>
    <w:p w14:paraId="7841ADA8" w14:textId="77777777" w:rsidR="00FA396A" w:rsidRDefault="007E7FB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诊所教师联系电话：叶英萍：</w:t>
      </w:r>
      <w:r>
        <w:rPr>
          <w:rFonts w:hint="eastAsia"/>
          <w:sz w:val="28"/>
          <w:szCs w:val="28"/>
        </w:rPr>
        <w:t>13078993818</w:t>
      </w:r>
      <w:r>
        <w:rPr>
          <w:rFonts w:hint="eastAsia"/>
          <w:sz w:val="28"/>
          <w:szCs w:val="28"/>
        </w:rPr>
        <w:t>；董万程：</w:t>
      </w:r>
      <w:r>
        <w:rPr>
          <w:rFonts w:hint="eastAsia"/>
          <w:sz w:val="28"/>
          <w:szCs w:val="28"/>
        </w:rPr>
        <w:t>13807576736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周孝怀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5500972353</w:t>
      </w:r>
      <w:r>
        <w:rPr>
          <w:rFonts w:hint="eastAsia"/>
          <w:sz w:val="28"/>
          <w:szCs w:val="28"/>
        </w:rPr>
        <w:t>；李方：</w:t>
      </w:r>
      <w:r>
        <w:rPr>
          <w:rFonts w:hint="eastAsia"/>
          <w:sz w:val="28"/>
          <w:szCs w:val="28"/>
        </w:rPr>
        <w:t>18976777991</w:t>
      </w:r>
      <w:r>
        <w:rPr>
          <w:rFonts w:hint="eastAsia"/>
          <w:sz w:val="28"/>
          <w:szCs w:val="28"/>
        </w:rPr>
        <w:t>；伍奕：</w:t>
      </w:r>
      <w:r>
        <w:rPr>
          <w:rFonts w:hint="eastAsia"/>
          <w:sz w:val="28"/>
          <w:szCs w:val="28"/>
        </w:rPr>
        <w:t>13876684383</w:t>
      </w:r>
      <w:r>
        <w:rPr>
          <w:rFonts w:hint="eastAsia"/>
          <w:sz w:val="28"/>
          <w:szCs w:val="28"/>
        </w:rPr>
        <w:t>；王子晏：</w:t>
      </w:r>
      <w:r>
        <w:rPr>
          <w:rFonts w:hint="eastAsia"/>
          <w:sz w:val="28"/>
          <w:szCs w:val="28"/>
        </w:rPr>
        <w:t>13086020176</w:t>
      </w:r>
      <w:r>
        <w:rPr>
          <w:rFonts w:hint="eastAsia"/>
          <w:sz w:val="28"/>
          <w:szCs w:val="28"/>
        </w:rPr>
        <w:t>；廖晖：</w:t>
      </w:r>
      <w:r>
        <w:rPr>
          <w:rFonts w:hint="eastAsia"/>
          <w:sz w:val="28"/>
          <w:szCs w:val="28"/>
        </w:rPr>
        <w:t>13307569596</w:t>
      </w:r>
      <w:r>
        <w:rPr>
          <w:rFonts w:hint="eastAsia"/>
          <w:sz w:val="28"/>
          <w:szCs w:val="28"/>
        </w:rPr>
        <w:t>；王龙奎</w:t>
      </w:r>
      <w:r>
        <w:rPr>
          <w:rFonts w:hint="eastAsia"/>
          <w:sz w:val="28"/>
          <w:szCs w:val="28"/>
        </w:rPr>
        <w:t>13707575286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张杰：</w:t>
      </w:r>
      <w:r>
        <w:rPr>
          <w:rFonts w:hint="eastAsia"/>
          <w:sz w:val="28"/>
          <w:szCs w:val="28"/>
        </w:rPr>
        <w:t>13907536219</w:t>
      </w:r>
    </w:p>
    <w:p w14:paraId="0AAFF574" w14:textId="77777777" w:rsidR="00FA396A" w:rsidRDefault="00FA396A">
      <w:pPr>
        <w:spacing w:line="440" w:lineRule="exact"/>
        <w:ind w:firstLineChars="200" w:firstLine="560"/>
        <w:rPr>
          <w:sz w:val="28"/>
          <w:szCs w:val="28"/>
        </w:rPr>
      </w:pPr>
    </w:p>
    <w:p w14:paraId="1B681A84" w14:textId="77777777" w:rsidR="00FA396A" w:rsidRDefault="00FA396A">
      <w:pPr>
        <w:spacing w:line="440" w:lineRule="exact"/>
        <w:ind w:firstLineChars="200" w:firstLine="560"/>
        <w:rPr>
          <w:sz w:val="28"/>
          <w:szCs w:val="28"/>
        </w:rPr>
      </w:pPr>
    </w:p>
    <w:p w14:paraId="03CDF659" w14:textId="77777777" w:rsidR="00FA396A" w:rsidRDefault="00FA396A">
      <w:pPr>
        <w:spacing w:line="440" w:lineRule="exact"/>
        <w:ind w:firstLineChars="200" w:firstLine="560"/>
        <w:rPr>
          <w:sz w:val="28"/>
          <w:szCs w:val="28"/>
        </w:rPr>
      </w:pPr>
    </w:p>
    <w:p w14:paraId="0F70773F" w14:textId="77777777" w:rsidR="00FA396A" w:rsidRDefault="00FA396A"/>
    <w:p w14:paraId="689B673A" w14:textId="77777777" w:rsidR="00FA396A" w:rsidRDefault="00FA396A"/>
    <w:p w14:paraId="2CD416E1" w14:textId="77777777" w:rsidR="00FA396A" w:rsidRDefault="00FA396A"/>
    <w:p w14:paraId="5F7E8469" w14:textId="77777777" w:rsidR="00FA396A" w:rsidRDefault="00FA396A"/>
    <w:p w14:paraId="13AAA5B6" w14:textId="77777777" w:rsidR="00FA396A" w:rsidRDefault="00FA396A"/>
    <w:p w14:paraId="14A3EA5F" w14:textId="77777777" w:rsidR="00FA396A" w:rsidRDefault="00FA396A"/>
    <w:p w14:paraId="6F62FB47" w14:textId="77777777" w:rsidR="00FA396A" w:rsidRDefault="00FA396A"/>
    <w:p w14:paraId="434EB88C" w14:textId="77777777" w:rsidR="00FA396A" w:rsidRDefault="00FA396A"/>
    <w:p w14:paraId="3E0AA01C" w14:textId="77777777" w:rsidR="00FA396A" w:rsidRDefault="00FA396A"/>
    <w:p w14:paraId="38AD366D" w14:textId="77777777" w:rsidR="00FA396A" w:rsidRDefault="00FA396A"/>
    <w:p w14:paraId="680DCEC9" w14:textId="77777777" w:rsidR="00FA396A" w:rsidRDefault="00FA396A"/>
    <w:sectPr w:rsidR="00FA396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D92B9" w14:textId="77777777" w:rsidR="007E7FB0" w:rsidRDefault="007E7FB0">
      <w:r>
        <w:separator/>
      </w:r>
    </w:p>
  </w:endnote>
  <w:endnote w:type="continuationSeparator" w:id="0">
    <w:p w14:paraId="34B551F8" w14:textId="77777777" w:rsidR="007E7FB0" w:rsidRDefault="007E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D666" w14:textId="77777777" w:rsidR="00FA396A" w:rsidRDefault="007E7FB0">
    <w:pPr>
      <w:pStyle w:val="a3"/>
      <w:framePr w:wrap="around" w:vAnchor="text" w:hAnchor="margin" w:xAlign="right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2A60EA09" w14:textId="77777777" w:rsidR="00FA396A" w:rsidRDefault="00FA39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8834" w14:textId="77777777" w:rsidR="00FA396A" w:rsidRDefault="007E7FB0">
    <w:pPr>
      <w:pStyle w:val="a3"/>
      <w:framePr w:wrap="around" w:vAnchor="text" w:hAnchor="margin" w:xAlign="right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73282AB3" w14:textId="77777777" w:rsidR="00FA396A" w:rsidRDefault="00FA39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7405" w14:textId="77777777" w:rsidR="007E7FB0" w:rsidRDefault="007E7FB0">
      <w:r>
        <w:separator/>
      </w:r>
    </w:p>
  </w:footnote>
  <w:footnote w:type="continuationSeparator" w:id="0">
    <w:p w14:paraId="2E25E5E5" w14:textId="77777777" w:rsidR="007E7FB0" w:rsidRDefault="007E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15945" w14:textId="77777777" w:rsidR="00FA396A" w:rsidRDefault="00FA396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1"/>
    <w:multiLevelType w:val="singleLevel"/>
    <w:tmpl w:val="01121C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2"/>
    <w:multiLevelType w:val="singleLevel"/>
    <w:tmpl w:val="688057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000003"/>
    <w:multiLevelType w:val="singleLevel"/>
    <w:tmpl w:val="6B73AFA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4"/>
    <w:multiLevelType w:val="singleLevel"/>
    <w:tmpl w:val="7055C2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A"/>
    <w:rsid w:val="007E7FB0"/>
    <w:rsid w:val="00836FAE"/>
    <w:rsid w:val="00E95B57"/>
    <w:rsid w:val="00F36018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92E10"/>
  <w15:docId w15:val="{5296A577-E43F-4D91-BA09-B9974BD8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原来1409105205</dc:creator>
  <cp:lastModifiedBy>嘉宸 皮</cp:lastModifiedBy>
  <cp:revision>3</cp:revision>
  <dcterms:created xsi:type="dcterms:W3CDTF">2020-11-03T14:06:00Z</dcterms:created>
  <dcterms:modified xsi:type="dcterms:W3CDTF">2020-11-03T14:06:00Z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